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Art Project Rubric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Suggested criteria</w:t>
      </w:r>
      <w:r w:rsidDel="00000000" w:rsidR="00000000" w:rsidRPr="00000000">
        <w:rPr>
          <w:rtl w:val="0"/>
        </w:rPr>
      </w:r>
    </w:p>
    <w:tbl>
      <w:tblPr>
        <w:tblStyle w:val="Table1"/>
        <w:tblW w:w="12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823.75"/>
        <w:gridCol w:w="2823.75"/>
        <w:gridCol w:w="2823.75"/>
        <w:gridCol w:w="2823.75"/>
        <w:tblGridChange w:id="0">
          <w:tblGrid>
            <w:gridCol w:w="1620"/>
            <w:gridCol w:w="2823.75"/>
            <w:gridCol w:w="2823.75"/>
            <w:gridCol w:w="2823.75"/>
            <w:gridCol w:w="2823.7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Learning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Exceeds expectations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Meets expectations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Approaching expectations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Creativity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is exceptionally unique, detailed, and interesting. Ideas are compellingly and inventively communicated through the chosen medium.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is mostly unique, detailed, and interesting. Ideas are inventively communicated through the chosen artistic medium.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is somewhat unique, detailed, or interesting. Ideas are communicated through the artistic medium, but may lack invention.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largely lacks uniqueness, detail, and/or interest. Work does not seek to inventively communicate ideas.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Rationale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clearly embodies at least three distinct reasons for the artist’s opinion on the subject. Reasons are exceptionally compelling and comprise a diversity of perspectives (e.g. political, philosophical, and scientific). Reasons are logically and factually sound.</w:t>
              <w:br w:type="textWrapping"/>
              <w:br w:type="textWrapping"/>
              <w:t xml:space="preserve">Reasons are exceptionally well articulated in the artist’s explanation of the work.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clearly embodies at least three distinct reasons for the artist’s opinion on the subject. Reasons are logically and factually sound.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Reasons are adequately explained by the artist.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may embody less than three distinct reasons for the artist’s opinion on the subject. Some reasons may not be logically or factually sound.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Artist’s explanation of reasons may be unclear.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or explanation of work does not adequately communicate the artist’s opinion on the subject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easons for the artist’s opinion on the subject are logically and/or factually unsound.</w:t>
            </w:r>
          </w:p>
        </w:tc>
      </w:tr>
      <w:tr>
        <w:trPr>
          <w:cantSplit w:val="0"/>
          <w:trHeight w:val="120.03906249999997" w:hRule="atLeast"/>
          <w:tblHeader w:val="0"/>
        </w:trPr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Effort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shows exceptional planning, effort, and pride.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shows substantial planning, effort, and pride.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shows minimal planning, effort, and pride.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Work shows a lack of planning, effort, and pride.</w:t>
            </w:r>
          </w:p>
        </w:tc>
      </w:tr>
    </w:tbl>
    <w:p w:rsidR="00000000" w:rsidDel="00000000" w:rsidP="00000000" w:rsidRDefault="00000000" w:rsidRPr="00000000" w14:paraId="0000001E">
      <w:pPr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Optional criterion</w:t>
      </w:r>
    </w:p>
    <w:tbl>
      <w:tblPr>
        <w:tblStyle w:val="Table2"/>
        <w:tblW w:w="12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2823.75"/>
        <w:gridCol w:w="2823.75"/>
        <w:gridCol w:w="2823.75"/>
        <w:gridCol w:w="2823.75"/>
        <w:tblGridChange w:id="0">
          <w:tblGrid>
            <w:gridCol w:w="1620"/>
            <w:gridCol w:w="2823.75"/>
            <w:gridCol w:w="2823.75"/>
            <w:gridCol w:w="2823.75"/>
            <w:gridCol w:w="2823.7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Learning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Exceeds expectations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Meets expectations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Approaching expectations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Engagement with presentations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Student is clearly attentive to peers’ presentations. Student asks many thoughtful follow-up questions about peers’ artworks, which prompt interesting discussion.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Student is mostly attentive to peers’ presentations. Student makes a clear effort to ask follow-up questions about peers’ artworks.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Student is somewhat attentive to peers’ presentations. Student may make little or no effort to ask follow-up questions about peers’ artworks.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Student is clearly inattentive to peers’ presentations. Student may be disruptive.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>
          <w:rFonts w:ascii="Roboto" w:cs="Roboto" w:eastAsia="Roboto" w:hAnsi="Roboto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223963" cy="31338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