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hd w:fill="ffffff" w:val="clear"/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155cc"/>
            <w:sz w:val="24"/>
            <w:szCs w:val="24"/>
            <w:u w:val="single"/>
            <w:rtl w:val="0"/>
          </w:rPr>
          <w:t xml:space="preserve">Is It Better to Buy a Gas or Electric Car?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hd w:fill="ffffff" w:val="clear"/>
        <w:spacing w:line="240" w:lineRule="auto"/>
        <w:jc w:val="center"/>
        <w:rPr>
          <w:rFonts w:ascii="Roboto" w:cs="Roboto" w:eastAsia="Roboto" w:hAnsi="Roboto"/>
          <w:b w:val="1"/>
          <w:sz w:val="24"/>
          <w:szCs w:val="24"/>
          <w:shd w:fill="9fc5e8" w:val="clear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Lesson plan for developing a Kialo discussion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hd w:fill="ffffff" w:val="clear"/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hd w:fill="ffffff" w:val="clear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Suggested length: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1 class period (45-55 minutes)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shd w:fill="ffffff" w:val="clear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hd w:fill="ffffff" w:val="clear"/>
              <w:spacing w:line="240" w:lineRule="auto"/>
              <w:ind w:right="-12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Lesson components: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numPr>
                <w:ilvl w:val="0"/>
                <w:numId w:val="4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Opener (12 minutes)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4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Activity: Developing the Kialo discussion and having a follow-up conversation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4"/>
              </w:numPr>
              <w:shd w:fill="ffffff" w:val="clear"/>
              <w:spacing w:line="240" w:lineRule="auto"/>
              <w:ind w:left="720" w:hanging="360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Optional closer (5-10 minutes)</w:t>
            </w:r>
          </w:p>
          <w:p w:rsidR="00000000" w:rsidDel="00000000" w:rsidP="00000000" w:rsidRDefault="00000000" w:rsidRPr="00000000" w14:paraId="0000000C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  <w:shd w:fill="ffe599" w:val="clear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Assessment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hd w:fill="ffffff" w:val="clear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Students will be assessed on their contributions to the Kialo discussion, either as a group or individually. (see suggested rubric in </w:t>
            </w: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provided materials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)</w:t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Opener (12 minutes)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Ask students: When making a big purchase, what factors do you have in mind? Do you ever consider the ecological impact of your purchase?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Tell students that these are some of the questions they will need to ask themselves if they ever purchase a vehicle—especially as electric cars become more competitive with gas cars.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1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Activate students’ knowledge by showing the video, “</w:t>
      </w:r>
      <w:hyperlink r:id="rId8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Gas vs electric cars: which is really better?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hd w:fill="ffffff" w:val="clear"/>
        <w:spacing w:line="240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hd w:fill="ffffff" w:val="clear"/>
        <w:spacing w:line="240" w:lineRule="auto"/>
        <w:ind w:left="0" w:firstLine="0"/>
        <w:rPr>
          <w:rFonts w:ascii="Roboto" w:cs="Roboto" w:eastAsia="Roboto" w:hAnsi="Roboto"/>
          <w:b w:val="1"/>
          <w:sz w:val="24"/>
          <w:szCs w:val="24"/>
          <w:u w:val="single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Activity</w:t>
      </w:r>
      <w:r w:rsidDel="00000000" w:rsidR="00000000" w:rsidRPr="00000000">
        <w:rPr>
          <w:rFonts w:ascii="Roboto" w:cs="Roboto" w:eastAsia="Roboto" w:hAnsi="Roboto"/>
          <w:sz w:val="24"/>
          <w:szCs w:val="24"/>
          <w:u w:val="singl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(focus of 1 class period)</w:t>
      </w:r>
    </w:p>
    <w:p w:rsidR="00000000" w:rsidDel="00000000" w:rsidP="00000000" w:rsidRDefault="00000000" w:rsidRPr="00000000" w14:paraId="00000017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Inform students that they will work in groups to expand on a partly developed Kialo discussion on the topic, “Is It Better to Buy a Gas or Electric Car?”</w:t>
      </w:r>
    </w:p>
    <w:p w:rsidR="00000000" w:rsidDel="00000000" w:rsidP="00000000" w:rsidRDefault="00000000" w:rsidRPr="00000000" w14:paraId="00000019">
      <w:pPr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Display the topology diagram of the Kialo discussion (this can be found by clicking the </w:t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190500" cy="198120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81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button in the top-left corner of the discussion) to give students a feel for the claims that are already written, which are meant to help students get started. Hover over various claims and explain them as necessary.</w:t>
      </w:r>
    </w:p>
    <w:p w:rsidR="00000000" w:rsidDel="00000000" w:rsidP="00000000" w:rsidRDefault="00000000" w:rsidRPr="00000000" w14:paraId="0000001B">
      <w:pPr>
        <w:shd w:fill="ffffff" w:val="clear"/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Distribute assignment rubric and go over student instructions, which are contained in the background info (this can also be found by clicking the </w:t>
      </w:r>
      <w:r w:rsidDel="00000000" w:rsidR="00000000" w:rsidRPr="00000000">
        <w:rPr>
          <w:rFonts w:ascii="Roboto" w:cs="Roboto" w:eastAsia="Roboto" w:hAnsi="Roboto"/>
          <w:sz w:val="24"/>
          <w:szCs w:val="24"/>
        </w:rPr>
        <w:drawing>
          <wp:inline distB="114300" distT="114300" distL="114300" distR="114300">
            <wp:extent cx="190500" cy="203200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03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button).</w:t>
      </w:r>
    </w:p>
    <w:p w:rsidR="00000000" w:rsidDel="00000000" w:rsidP="00000000" w:rsidRDefault="00000000" w:rsidRPr="00000000" w14:paraId="0000001D">
      <w:pPr>
        <w:shd w:fill="ffffff" w:val="clear"/>
        <w:spacing w:line="240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Roboto" w:cs="Roboto" w:eastAsia="Roboto" w:hAnsi="Roboto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Optional differentiation: 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You can require students to not only link sources in their claims, but to provide properly formatted academic citations in the 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24"/>
                <w:szCs w:val="24"/>
                <w:rtl w:val="0"/>
              </w:rPr>
              <w:t xml:space="preserve">Quote/Note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box.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shd w:fill="ffffff" w:val="clear"/>
        <w:spacing w:line="240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With students in their groups, direct them to log into their Kialo discussions, begin researching, and develop the discussion.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7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tblGridChange w:id="0">
          <w:tblGrid>
            <w:gridCol w:w="864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Roboto" w:cs="Roboto" w:eastAsia="Roboto" w:hAnsi="Roboto"/>
                <w:sz w:val="24"/>
                <w:szCs w:val="24"/>
              </w:rPr>
            </w:pPr>
            <w:r w:rsidDel="00000000" w:rsidR="00000000" w:rsidRPr="00000000">
              <w:rPr>
                <w:rFonts w:ascii="Roboto" w:cs="Roboto" w:eastAsia="Roboto" w:hAnsi="Roboto"/>
                <w:b w:val="1"/>
                <w:sz w:val="24"/>
                <w:szCs w:val="24"/>
                <w:rtl w:val="0"/>
              </w:rPr>
              <w:t xml:space="preserve">TIP: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You can keep track of how many claims each student has added by pressing the  </w:t>
            </w:r>
            <w:r w:rsidDel="00000000" w:rsidR="00000000" w:rsidRPr="00000000">
              <w:rPr>
                <w:rFonts w:ascii="Nova Mono" w:cs="Nova Mono" w:eastAsia="Nova Mono" w:hAnsi="Nova Mono"/>
                <w:b w:val="1"/>
                <w:sz w:val="24"/>
                <w:szCs w:val="24"/>
                <w:rtl w:val="0"/>
              </w:rPr>
              <w:t xml:space="preserve">≡</w:t>
            </w:r>
            <w:r w:rsidDel="00000000" w:rsidR="00000000" w:rsidRPr="00000000">
              <w:rPr>
                <w:rFonts w:ascii="Roboto" w:cs="Roboto" w:eastAsia="Roboto" w:hAnsi="Roboto"/>
                <w:sz w:val="24"/>
                <w:szCs w:val="24"/>
                <w:rtl w:val="0"/>
              </w:rPr>
              <w:t xml:space="preserve">  button in the top-left of the discussion and looking at the “Tasks” tab</w:t>
            </w:r>
          </w:p>
        </w:tc>
      </w:tr>
    </w:tbl>
    <w:p w:rsidR="00000000" w:rsidDel="00000000" w:rsidP="00000000" w:rsidRDefault="00000000" w:rsidRPr="00000000" w14:paraId="00000023">
      <w:pPr>
        <w:pageBreakBefore w:val="0"/>
        <w:shd w:fill="ffffff" w:val="clear"/>
        <w:spacing w:line="240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2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  <w:u w:val="none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Direct students to complete the discussion for homework, if they did not do so in class.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  <w:shd w:fill="ffe599" w:val="clear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u w:val="single"/>
          <w:rtl w:val="0"/>
        </w:rPr>
        <w:t xml:space="preserve">Optional closer (5-10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shd w:fill="ffffff" w:val="clear"/>
        <w:spacing w:line="240" w:lineRule="auto"/>
        <w:rPr>
          <w:rFonts w:ascii="Roboto" w:cs="Roboto" w:eastAsia="Roboto" w:hAnsi="Roboto"/>
          <w:sz w:val="24"/>
          <w:szCs w:val="24"/>
          <w:shd w:fill="9fc5e8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5"/>
        </w:numPr>
        <w:shd w:fill="ffffff" w:val="clear"/>
        <w:spacing w:line="240" w:lineRule="auto"/>
        <w:ind w:left="720" w:hanging="36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Ask students, “What conclusions did you come to during your research? Which kind of car would you buy and why?” Facilitate a whole-class in which students can share their answers.</w:t>
      </w:r>
    </w:p>
    <w:sectPr>
      <w:headerReference r:id="rId10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va Mono">
    <w:embedRegular w:fontKey="{00000000-0000-0000-0000-000000000000}" r:id="rId5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spacing w:line="259" w:lineRule="auto"/>
      <w:jc w:val="right"/>
      <w:rPr>
        <w:rFonts w:ascii="Roboto" w:cs="Roboto" w:eastAsia="Roboto" w:hAnsi="Roboto"/>
        <w:sz w:val="24"/>
        <w:szCs w:val="24"/>
      </w:rPr>
    </w:pPr>
    <w:r w:rsidDel="00000000" w:rsidR="00000000" w:rsidRPr="00000000">
      <w:rPr>
        <w:rFonts w:ascii="Roboto" w:cs="Roboto" w:eastAsia="Roboto" w:hAnsi="Roboto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19052</wp:posOffset>
          </wp:positionH>
          <wp:positionV relativeFrom="paragraph">
            <wp:posOffset>19052</wp:posOffset>
          </wp:positionV>
          <wp:extent cx="1223963" cy="313382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23963" cy="31338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  <w:shd w:fill="auto" w:val="clear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kialo-edu.com/p/0644ff99-9b3b-47bb-9a51-92138446b3d4/79490/permissions?back=%2Fp%2F0644ff99-9b3b-47bb-9a51-92138446b3d4%2F79490" TargetMode="External"/><Relationship Id="rId8" Type="http://schemas.openxmlformats.org/officeDocument/2006/relationships/hyperlink" Target="https://www.youtube.com/watch?v=RPyEwAKFlP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NovaMono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qXKhbe1x/iP9iAdvs6XvE3QwLw==">AMUW2mUM6QJYKV/b1Dm5RNRoGgxd5ocwxeQoITt6VPlcxGjAJVvrSmGLyMcW8Y+WWsonYqgn1WF4aJRd6cSohLDjEdJc2TcYkUoAKF4QDtTWV4pHbDoDp5Q=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